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6C979" w14:textId="77777777"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14:paraId="30D6C97A"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0D6C97B"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14:paraId="30D6C97E" w14:textId="77777777">
        <w:tc>
          <w:tcPr>
            <w:tcW w:w="2462" w:type="dxa"/>
          </w:tcPr>
          <w:p w14:paraId="30D6C97C"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30D6C97D"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A93162" w14:paraId="30D6C98C" w14:textId="77777777">
        <w:tc>
          <w:tcPr>
            <w:tcW w:w="2462" w:type="dxa"/>
          </w:tcPr>
          <w:p w14:paraId="30D6C97F"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30D6C980"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0D6C981"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0D6C982"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30D6C983"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30D6C984"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0D6C985"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the Buyer that the Supplier has not satisfied any sums properly due under a specified invoice and not subject to a genuine dispute; or</w:t>
            </w:r>
          </w:p>
          <w:p w14:paraId="30D6C986"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30D6C987"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30D6C988"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0D6C989"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14:paraId="30D6C98A"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30D6C98B"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Buyer reasonably believes (or would be likely reasonably to believe) could directly impact on the continued performance of any Contract and delivery of the Deliverables in accordance with any  Contract;</w:t>
            </w:r>
          </w:p>
        </w:tc>
      </w:tr>
      <w:tr w:rsidR="00A93162" w14:paraId="30D6C98F" w14:textId="77777777">
        <w:tc>
          <w:tcPr>
            <w:tcW w:w="2462" w:type="dxa"/>
          </w:tcPr>
          <w:p w14:paraId="30D6C98D"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30D6C98E"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14:paraId="30D6C992" w14:textId="77777777">
        <w:tc>
          <w:tcPr>
            <w:tcW w:w="2462" w:type="dxa"/>
          </w:tcPr>
          <w:p w14:paraId="30D6C990"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30D6C991" w14:textId="2BCE5250"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 and</w:t>
            </w:r>
          </w:p>
        </w:tc>
      </w:tr>
      <w:tr w:rsidR="00A93162" w14:paraId="30D6C995" w14:textId="77777777">
        <w:tc>
          <w:tcPr>
            <w:tcW w:w="2462" w:type="dxa"/>
          </w:tcPr>
          <w:p w14:paraId="30D6C993" w14:textId="77777777" w:rsidR="00A93162" w:rsidRDefault="00564FFF" w:rsidP="00503729">
            <w:pPr>
              <w:pBdr>
                <w:top w:val="nil"/>
                <w:left w:val="nil"/>
                <w:bottom w:val="nil"/>
                <w:right w:val="nil"/>
                <w:between w:val="nil"/>
              </w:pBdr>
              <w:spacing w:after="120"/>
              <w:ind w:left="-108" w:hanging="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0D6C994"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30D6C996"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30D6C997"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30D6C998"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30D6C999" w14:textId="77777777"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14:paraId="30D6C99A"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30D6C99B"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the Buyer that as at the Start Date the long term credit ratings issued for the Monitored Companies by each of the Rating Agencies are as set out in Annex 2. </w:t>
      </w:r>
    </w:p>
    <w:p w14:paraId="30D6C99C"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Company.</w:t>
      </w:r>
    </w:p>
    <w:p w14:paraId="30D6C99E" w14:textId="1BE60AC0" w:rsidR="00A93162" w:rsidRPr="00637864" w:rsidRDefault="00564FFF" w:rsidP="00637864">
      <w:pPr>
        <w:numPr>
          <w:ilvl w:val="1"/>
          <w:numId w:val="2"/>
        </w:numPr>
        <w:pBdr>
          <w:top w:val="nil"/>
          <w:left w:val="nil"/>
          <w:bottom w:val="nil"/>
          <w:right w:val="nil"/>
          <w:between w:val="nil"/>
        </w:pBdr>
        <w:tabs>
          <w:tab w:val="left" w:pos="1134"/>
        </w:tabs>
        <w:spacing w:before="120" w:after="120"/>
        <w:ind w:firstLine="1134"/>
        <w:jc w:val="left"/>
        <w:rPr>
          <w:rFonts w:ascii="Arial" w:eastAsia="Arial" w:hAnsi="Arial"/>
          <w:sz w:val="24"/>
          <w:szCs w:val="24"/>
        </w:rPr>
      </w:pPr>
      <w:r w:rsidRPr="00637864">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the quick ratio for the Monitored Company as at the end of each Contract Year or such other date as may be requested by the </w:t>
      </w:r>
      <w:r w:rsidRPr="00637864">
        <w:rPr>
          <w:rFonts w:ascii="Arial" w:eastAsia="Arial" w:hAnsi="Arial"/>
          <w:color w:val="000000"/>
          <w:sz w:val="24"/>
          <w:szCs w:val="24"/>
        </w:rPr>
        <w:lastRenderedPageBreak/>
        <w:t>Buyer. For these purposes the "quick ratio" on any date means:</w:t>
      </w:r>
      <w:r>
        <w:rPr>
          <w:rFonts w:ascii="Arial" w:eastAsia="Arial" w:hAnsi="Arial"/>
          <w:noProof/>
          <w:sz w:val="24"/>
          <w:szCs w:val="24"/>
        </w:rPr>
        <w:drawing>
          <wp:inline distT="0" distB="0" distL="0" distR="0" wp14:anchorId="30D6C9E3" wp14:editId="30D6C9E4">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30D6C9E5" wp14:editId="30D6C9E6">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30D6C99F" w14:textId="77777777"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14:paraId="30D6C9A2" w14:textId="77777777">
        <w:tc>
          <w:tcPr>
            <w:tcW w:w="1524" w:type="dxa"/>
          </w:tcPr>
          <w:p w14:paraId="30D6C9A0"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30D6C9A1"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14:paraId="30D6C9A5" w14:textId="77777777">
        <w:tc>
          <w:tcPr>
            <w:tcW w:w="1524" w:type="dxa"/>
          </w:tcPr>
          <w:p w14:paraId="30D6C9A3"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30D6C9A4"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14:paraId="30D6C9A8" w14:textId="77777777">
        <w:tc>
          <w:tcPr>
            <w:tcW w:w="1524" w:type="dxa"/>
          </w:tcPr>
          <w:p w14:paraId="30D6C9A6"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0D6C9A7"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14:paraId="30D6C9AB" w14:textId="77777777">
        <w:tc>
          <w:tcPr>
            <w:tcW w:w="1524" w:type="dxa"/>
          </w:tcPr>
          <w:p w14:paraId="30D6C9A9"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30D6C9AA"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30D6C9AC"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30D6C9AD"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30D6C9AE"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0D6C9AF"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30D6C9B0"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30D6C9B1" w14:textId="6E11DFDA"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w:t>
      </w:r>
    </w:p>
    <w:p w14:paraId="3EC592C0" w14:textId="77777777" w:rsidR="009930D8" w:rsidRDefault="009930D8" w:rsidP="009930D8">
      <w:pPr>
        <w:pBdr>
          <w:top w:val="nil"/>
          <w:left w:val="nil"/>
          <w:bottom w:val="nil"/>
          <w:right w:val="nil"/>
          <w:between w:val="nil"/>
        </w:pBdr>
        <w:tabs>
          <w:tab w:val="left" w:pos="1134"/>
        </w:tabs>
        <w:spacing w:before="120" w:after="120"/>
        <w:ind w:left="644"/>
        <w:jc w:val="left"/>
        <w:rPr>
          <w:rFonts w:ascii="Arial" w:eastAsia="Arial" w:hAnsi="Arial"/>
          <w:color w:val="000000"/>
          <w:sz w:val="24"/>
          <w:szCs w:val="24"/>
        </w:rPr>
      </w:pPr>
    </w:p>
    <w:p w14:paraId="6F907089" w14:textId="7AE18284" w:rsidR="009930D8" w:rsidRDefault="009930D8" w:rsidP="009930D8">
      <w:pPr>
        <w:pBdr>
          <w:top w:val="nil"/>
          <w:left w:val="nil"/>
          <w:bottom w:val="nil"/>
          <w:right w:val="nil"/>
          <w:between w:val="nil"/>
        </w:pBdr>
        <w:tabs>
          <w:tab w:val="left" w:pos="1134"/>
        </w:tabs>
        <w:spacing w:after="0"/>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Key subcontractors to be confirmed at contract award and clause 4.2, 4.2.1 and 4.2.2 removed or included as necessary.</w:t>
      </w:r>
    </w:p>
    <w:p w14:paraId="30D6C9B3" w14:textId="38590381"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14:paraId="30D6C9B4"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30D6C9B5" w14:textId="63372C3C"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Buyer's reasonable satisfaction that there is a valid reason for late or non-payment.</w:t>
      </w:r>
    </w:p>
    <w:p w14:paraId="30D6C9B6"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30D6C9B7"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p>
    <w:p w14:paraId="30D6C9B8"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where the Buyer reasonably believes (taking into account the discussions and any representations made under Paragraph 4.3.1) that the Financial Distress Event could impact on the continued performance of the Contract and delivery of the Deliverables in accordance with the Contract: </w:t>
      </w:r>
    </w:p>
    <w:p w14:paraId="30D6C9B9"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practicable (and in any event, within ten (10) Working Days of the initial notification (or awareness) of the Financial Distress Event); and</w:t>
      </w:r>
    </w:p>
    <w:p w14:paraId="30D6C9BA"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the Buyer may reasonably require.</w:t>
      </w:r>
    </w:p>
    <w:p w14:paraId="30D6C9BB"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14:paraId="30D6C9BC"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30D6C9BD"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lastRenderedPageBreak/>
        <w:t>Following Approval of the Financial Distress Service Continuity Plan by the Buyer, the Supplier shall:</w:t>
      </w:r>
    </w:p>
    <w:p w14:paraId="30D6C9BE"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the Contract and delivery of the Deliverables in accordance with the Contract;</w:t>
      </w:r>
    </w:p>
    <w:p w14:paraId="30D6C9BF"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the Buyer for its Approval, and the provisions of Paragraphs 4.5 and 4.6 shall apply to the review and Approval process for the updated Financial Distress Service Continuity Plan; and </w:t>
      </w:r>
    </w:p>
    <w:p w14:paraId="30D6C9C0"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30D6C9C1"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14:paraId="30D6C9C2"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14:paraId="30D6C9C3"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The Buyer shall be entitled to terminate this Contract for material Default if: </w:t>
      </w:r>
    </w:p>
    <w:p w14:paraId="30D6C9C4"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Buyer of a Financial Distress Event in accordance with Paragraph 3.4; </w:t>
      </w:r>
    </w:p>
    <w:p w14:paraId="30D6C9C5"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fail to agree a Financial Distress Service Continuity Plan (or any updated Financial Distress Service Continuity Plan) in accordance with Paragraphs 4.3 to 4.5; and/or</w:t>
      </w:r>
    </w:p>
    <w:p w14:paraId="30D6C9C6"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30D6C9C7"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14:paraId="30D6C9C8"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Buyer’s rights and remedies under Paragraph 5, if, following the occurrence of a Financial Distress Event, the Rating Agencies review and report subsequently that the credit ratings do not drop below the relevant Credit Rating Threshold, then:</w:t>
      </w:r>
    </w:p>
    <w:p w14:paraId="30D6C9C9"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0D6C9CA"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the Buyer shall not be entitled to require the Supplier to provide financial information in accordance with Paragraph 4.3.2(b). </w:t>
      </w:r>
    </w:p>
    <w:p w14:paraId="30D6C9CB" w14:textId="77777777" w:rsidR="00A93162" w:rsidRDefault="00A93162">
      <w:pPr>
        <w:pBdr>
          <w:top w:val="nil"/>
          <w:left w:val="nil"/>
          <w:bottom w:val="nil"/>
          <w:right w:val="nil"/>
          <w:between w:val="nil"/>
        </w:pBdr>
        <w:spacing w:after="0"/>
        <w:jc w:val="left"/>
        <w:rPr>
          <w:rFonts w:ascii="Arial" w:eastAsia="Arial" w:hAnsi="Arial"/>
          <w:color w:val="FFFFFF"/>
          <w:sz w:val="24"/>
          <w:szCs w:val="24"/>
        </w:rPr>
      </w:pPr>
    </w:p>
    <w:p w14:paraId="30D6C9CC"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30D6C9CD"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00809AEA" w14:textId="77777777" w:rsidR="00B76992" w:rsidRDefault="00B76992" w:rsidP="00B76992">
      <w:pPr>
        <w:rPr>
          <w:rFonts w:ascii="Arial" w:hAnsi="Arial"/>
          <w:sz w:val="24"/>
          <w:szCs w:val="20"/>
        </w:rPr>
      </w:pPr>
    </w:p>
    <w:p w14:paraId="31ABA075" w14:textId="3DD20BB3" w:rsidR="00436DC1" w:rsidRPr="009930D8" w:rsidRDefault="00436DC1" w:rsidP="00B76992">
      <w:pPr>
        <w:rPr>
          <w:rFonts w:ascii="Arial" w:hAnsi="Arial"/>
        </w:rPr>
      </w:pPr>
      <w:r w:rsidRPr="009930D8">
        <w:rPr>
          <w:rFonts w:ascii="Arial" w:hAnsi="Arial"/>
        </w:rPr>
        <w:t xml:space="preserve">Dun &amp; Bradstreet </w:t>
      </w:r>
    </w:p>
    <w:p w14:paraId="2BC79036" w14:textId="418F4DE2" w:rsidR="00436DC1" w:rsidRPr="009930D8" w:rsidRDefault="00436DC1" w:rsidP="00B76992">
      <w:pPr>
        <w:rPr>
          <w:rFonts w:ascii="Arial" w:hAnsi="Arial"/>
          <w:sz w:val="24"/>
          <w:szCs w:val="20"/>
        </w:rPr>
      </w:pPr>
      <w:r w:rsidRPr="009930D8">
        <w:rPr>
          <w:rFonts w:ascii="Arial" w:hAnsi="Arial"/>
        </w:rPr>
        <w:t>Experian Business</w:t>
      </w:r>
    </w:p>
    <w:p w14:paraId="30D6C9D0" w14:textId="078577DE" w:rsidR="00A93162"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5B2EEDBA" w14:textId="4C9E09A9" w:rsidR="009930D8" w:rsidRDefault="009930D8" w:rsidP="009930D8">
      <w:pPr>
        <w:pBdr>
          <w:top w:val="nil"/>
          <w:left w:val="nil"/>
          <w:bottom w:val="nil"/>
          <w:right w:val="nil"/>
          <w:between w:val="nil"/>
        </w:pBdr>
        <w:tabs>
          <w:tab w:val="left" w:pos="1134"/>
        </w:tabs>
        <w:spacing w:after="0"/>
        <w:jc w:val="left"/>
        <w:rPr>
          <w:rFonts w:ascii="Arial" w:eastAsia="Arial" w:hAnsi="Arial"/>
          <w:color w:val="000000"/>
          <w:sz w:val="24"/>
          <w:szCs w:val="24"/>
        </w:rPr>
      </w:pPr>
      <w:r>
        <w:rPr>
          <w:rFonts w:ascii="Arial" w:eastAsia="Arial" w:hAnsi="Arial"/>
          <w:b/>
          <w:color w:val="000000"/>
          <w:sz w:val="24"/>
          <w:szCs w:val="24"/>
          <w:highlight w:val="yellow"/>
        </w:rPr>
        <w:t xml:space="preserve">Key subcontractors to be confirmed at contract award </w:t>
      </w:r>
      <w:r>
        <w:rPr>
          <w:rFonts w:ascii="Arial" w:eastAsia="Arial" w:hAnsi="Arial"/>
          <w:b/>
          <w:color w:val="000000"/>
          <w:sz w:val="24"/>
          <w:szCs w:val="24"/>
          <w:highlight w:val="yellow"/>
        </w:rPr>
        <w:t xml:space="preserve">entity below </w:t>
      </w:r>
      <w:r>
        <w:rPr>
          <w:rFonts w:ascii="Arial" w:eastAsia="Arial" w:hAnsi="Arial"/>
          <w:b/>
          <w:color w:val="000000"/>
          <w:sz w:val="24"/>
          <w:szCs w:val="24"/>
          <w:highlight w:val="yellow"/>
        </w:rPr>
        <w:t>removed or included as necessary.</w:t>
      </w:r>
    </w:p>
    <w:p w14:paraId="30D6C9E2" w14:textId="7EBD07A9" w:rsidR="00A93162" w:rsidRDefault="00A93162" w:rsidP="0068226A">
      <w:pPr>
        <w:rPr>
          <w:rFonts w:ascii="Arial" w:hAnsi="Arial"/>
          <w:sz w:val="24"/>
          <w:szCs w:val="20"/>
        </w:rPr>
      </w:pP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104396" w14:paraId="567953A4" w14:textId="77777777" w:rsidTr="00AE40A5">
        <w:tc>
          <w:tcPr>
            <w:tcW w:w="3033" w:type="dxa"/>
            <w:tcBorders>
              <w:top w:val="single" w:sz="4" w:space="0" w:color="000000"/>
            </w:tcBorders>
            <w:shd w:val="clear" w:color="auto" w:fill="FFFFFF"/>
          </w:tcPr>
          <w:p w14:paraId="04C56CBD" w14:textId="77777777" w:rsidR="00104396" w:rsidRDefault="00104396" w:rsidP="00AE40A5">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FFFFFF"/>
          </w:tcPr>
          <w:p w14:paraId="24E94E47" w14:textId="77777777" w:rsidR="00104396" w:rsidRDefault="00104396" w:rsidP="00AE40A5">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FFFFFF"/>
          </w:tcPr>
          <w:p w14:paraId="256CB570" w14:textId="77777777" w:rsidR="00104396" w:rsidRDefault="00104396" w:rsidP="00AE40A5">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104396" w14:paraId="6FA786AF" w14:textId="77777777" w:rsidTr="00AE40A5">
        <w:tc>
          <w:tcPr>
            <w:tcW w:w="3033" w:type="dxa"/>
            <w:shd w:val="clear" w:color="auto" w:fill="FFFFFF"/>
          </w:tcPr>
          <w:p w14:paraId="078A9F23" w14:textId="77777777" w:rsidR="00104396" w:rsidRDefault="00104396" w:rsidP="00AE40A5">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14:paraId="6C07AC0C" w14:textId="5D0283A5" w:rsidR="00104396" w:rsidRDefault="009930D8" w:rsidP="00AE40A5">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sidRPr="009930D8">
              <w:rPr>
                <w:rFonts w:ascii="Arial" w:eastAsia="Arial" w:hAnsi="Arial"/>
                <w:color w:val="000000"/>
                <w:sz w:val="24"/>
                <w:szCs w:val="24"/>
              </w:rPr>
              <w:t>Dun &amp; Bradstreet / Experian Business</w:t>
            </w:r>
            <w:r>
              <w:rPr>
                <w:rFonts w:ascii="Arial" w:eastAsia="Arial" w:hAnsi="Arial"/>
                <w:color w:val="000000"/>
                <w:sz w:val="24"/>
                <w:szCs w:val="24"/>
              </w:rPr>
              <w:t xml:space="preserve"> </w:t>
            </w:r>
            <w:r w:rsidRPr="009930D8">
              <w:rPr>
                <w:rFonts w:ascii="Arial" w:eastAsia="Arial" w:hAnsi="Arial"/>
                <w:color w:val="000000"/>
                <w:sz w:val="24"/>
                <w:szCs w:val="24"/>
              </w:rPr>
              <w:t>Threshold</w:t>
            </w:r>
          </w:p>
        </w:tc>
        <w:tc>
          <w:tcPr>
            <w:tcW w:w="2966" w:type="dxa"/>
            <w:shd w:val="clear" w:color="auto" w:fill="FFFFFF"/>
          </w:tcPr>
          <w:p w14:paraId="7D603A3F" w14:textId="00901432" w:rsidR="00104396" w:rsidRDefault="00436DC1" w:rsidP="00AE40A5">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79</w:t>
            </w:r>
          </w:p>
        </w:tc>
      </w:tr>
      <w:tr w:rsidR="009930D8" w14:paraId="0346D58B" w14:textId="77777777" w:rsidTr="00AE40A5">
        <w:tc>
          <w:tcPr>
            <w:tcW w:w="3033" w:type="dxa"/>
            <w:shd w:val="clear" w:color="auto" w:fill="FFFFFF"/>
          </w:tcPr>
          <w:p w14:paraId="551573E5" w14:textId="382EB6CE" w:rsidR="009930D8" w:rsidRPr="009930D8" w:rsidRDefault="009930D8" w:rsidP="009930D8">
            <w:pPr>
              <w:keepNext/>
              <w:pBdr>
                <w:top w:val="nil"/>
                <w:left w:val="nil"/>
                <w:bottom w:val="nil"/>
                <w:right w:val="nil"/>
                <w:between w:val="nil"/>
              </w:pBdr>
              <w:spacing w:before="240" w:after="120"/>
              <w:ind w:left="142" w:hanging="142"/>
              <w:jc w:val="left"/>
              <w:rPr>
                <w:rFonts w:ascii="Arial" w:eastAsia="Arial" w:hAnsi="Arial"/>
                <w:bCs/>
                <w:color w:val="000000"/>
                <w:sz w:val="24"/>
                <w:szCs w:val="24"/>
              </w:rPr>
            </w:pPr>
            <w:r w:rsidRPr="009930D8">
              <w:rPr>
                <w:rFonts w:ascii="Arial" w:eastAsia="Arial" w:hAnsi="Arial"/>
                <w:bCs/>
                <w:color w:val="000000"/>
                <w:sz w:val="24"/>
                <w:szCs w:val="24"/>
                <w:highlight w:val="yellow"/>
              </w:rPr>
              <w:t>Key subcontractors</w:t>
            </w:r>
          </w:p>
        </w:tc>
        <w:tc>
          <w:tcPr>
            <w:tcW w:w="3017" w:type="dxa"/>
            <w:shd w:val="clear" w:color="auto" w:fill="FFFFFF"/>
          </w:tcPr>
          <w:p w14:paraId="330C0237" w14:textId="2337809D" w:rsidR="009930D8" w:rsidRPr="009930D8" w:rsidRDefault="009930D8" w:rsidP="009930D8">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Dun </w:t>
            </w:r>
            <w:r w:rsidRPr="009930D8">
              <w:rPr>
                <w:rFonts w:ascii="Arial" w:eastAsia="Arial" w:hAnsi="Arial"/>
                <w:color w:val="000000"/>
                <w:sz w:val="24"/>
                <w:szCs w:val="24"/>
                <w:highlight w:val="yellow"/>
              </w:rPr>
              <w:t>&amp;</w:t>
            </w:r>
            <w:r>
              <w:rPr>
                <w:rFonts w:ascii="Arial" w:eastAsia="Arial" w:hAnsi="Arial"/>
                <w:color w:val="000000"/>
                <w:sz w:val="24"/>
                <w:szCs w:val="24"/>
                <w:highlight w:val="yellow"/>
              </w:rPr>
              <w:t xml:space="preserve"> </w:t>
            </w:r>
            <w:r w:rsidRPr="009930D8">
              <w:rPr>
                <w:rFonts w:ascii="Arial" w:eastAsia="Arial" w:hAnsi="Arial"/>
                <w:color w:val="000000"/>
                <w:sz w:val="24"/>
                <w:szCs w:val="24"/>
                <w:highlight w:val="yellow"/>
              </w:rPr>
              <w:t>B</w:t>
            </w:r>
            <w:r>
              <w:rPr>
                <w:rFonts w:ascii="Arial" w:eastAsia="Arial" w:hAnsi="Arial"/>
                <w:color w:val="000000"/>
                <w:sz w:val="24"/>
                <w:szCs w:val="24"/>
                <w:highlight w:val="yellow"/>
              </w:rPr>
              <w:t xml:space="preserve">radstreet / Experian Business </w:t>
            </w:r>
            <w:r w:rsidRPr="009930D8">
              <w:rPr>
                <w:rFonts w:ascii="Arial" w:eastAsia="Arial" w:hAnsi="Arial"/>
                <w:color w:val="000000"/>
                <w:sz w:val="24"/>
                <w:szCs w:val="24"/>
                <w:highlight w:val="yellow"/>
              </w:rPr>
              <w:t>Threshold</w:t>
            </w:r>
          </w:p>
        </w:tc>
        <w:tc>
          <w:tcPr>
            <w:tcW w:w="2966" w:type="dxa"/>
            <w:shd w:val="clear" w:color="auto" w:fill="FFFFFF"/>
          </w:tcPr>
          <w:p w14:paraId="6EBDD2A4" w14:textId="6FB1927F" w:rsidR="009930D8" w:rsidRPr="009930D8" w:rsidRDefault="009930D8" w:rsidP="009930D8">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r w:rsidRPr="009930D8">
              <w:rPr>
                <w:rFonts w:ascii="Arial" w:eastAsia="Arial" w:hAnsi="Arial"/>
                <w:color w:val="000000"/>
                <w:sz w:val="24"/>
                <w:szCs w:val="24"/>
                <w:highlight w:val="yellow"/>
              </w:rPr>
              <w:t>79</w:t>
            </w:r>
          </w:p>
        </w:tc>
      </w:tr>
    </w:tbl>
    <w:p w14:paraId="3D72338C" w14:textId="77777777" w:rsidR="00104396" w:rsidRPr="0068226A" w:rsidRDefault="00104396" w:rsidP="0068226A">
      <w:pPr>
        <w:rPr>
          <w:rFonts w:ascii="Arial" w:hAnsi="Arial"/>
          <w:sz w:val="24"/>
          <w:szCs w:val="20"/>
        </w:rPr>
      </w:pPr>
    </w:p>
    <w:sectPr w:rsidR="00104396" w:rsidRPr="0068226A">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E8659" w14:textId="77777777" w:rsidR="00D56D34" w:rsidRDefault="00D56D34">
      <w:pPr>
        <w:spacing w:after="0"/>
      </w:pPr>
      <w:r>
        <w:separator/>
      </w:r>
    </w:p>
  </w:endnote>
  <w:endnote w:type="continuationSeparator" w:id="0">
    <w:p w14:paraId="795817D1" w14:textId="77777777" w:rsidR="00D56D34" w:rsidRDefault="00D56D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C9ED" w14:textId="25E8A498" w:rsidR="00A93162" w:rsidRDefault="009930D8">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68FF31C2" wp14:editId="3845AB6F">
              <wp:simplePos x="0" y="0"/>
              <wp:positionH relativeFrom="page">
                <wp:posOffset>0</wp:posOffset>
              </wp:positionH>
              <wp:positionV relativeFrom="page">
                <wp:posOffset>10227945</wp:posOffset>
              </wp:positionV>
              <wp:extent cx="7560310" cy="273050"/>
              <wp:effectExtent l="0" t="0" r="0" b="12700"/>
              <wp:wrapNone/>
              <wp:docPr id="1" name="MSIPCM104d42e3be4f0f39a1dea0ff" descr="{&quot;HashCode&quot;:-52252865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C2A4B5" w14:textId="23223760" w:rsidR="009930D8" w:rsidRPr="009930D8" w:rsidRDefault="009930D8" w:rsidP="009930D8">
                          <w:pPr>
                            <w:spacing w:after="0"/>
                            <w:jc w:val="center"/>
                            <w:rPr>
                              <w:color w:val="000000"/>
                              <w:sz w:val="20"/>
                            </w:rPr>
                          </w:pPr>
                          <w:r w:rsidRPr="009930D8">
                            <w:rPr>
                              <w:color w:val="000000"/>
                              <w:sz w:val="20"/>
                            </w:rPr>
                            <w:t>UK 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FF31C2" id="_x0000_t202" coordsize="21600,21600" o:spt="202" path="m,l,21600r21600,l21600,xe">
              <v:stroke joinstyle="miter"/>
              <v:path gradientshapeok="t" o:connecttype="rect"/>
            </v:shapetype>
            <v:shape id="MSIPCM104d42e3be4f0f39a1dea0ff" o:spid="_x0000_s1027" type="#_x0000_t202" alt="{&quot;HashCode&quot;:-522528657,&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9uGj+rgIAAE0FAAAOAAAA&#10;AAAAAAAAAAAAAC4CAABkcnMvZTJvRG9jLnhtbFBLAQItABQABgAIAAAAIQCf1UHs3wAAAAsBAAAP&#10;AAAAAAAAAAAAAAAAAAgFAABkcnMvZG93bnJldi54bWxQSwUGAAAAAAQABADzAAAAFAYAAAAA&#10;" o:allowincell="f" filled="f" stroked="f" strokeweight=".5pt">
              <v:fill o:detectmouseclick="t"/>
              <v:textbox inset=",0,,0">
                <w:txbxContent>
                  <w:p w14:paraId="74C2A4B5" w14:textId="23223760" w:rsidR="009930D8" w:rsidRPr="009930D8" w:rsidRDefault="009930D8" w:rsidP="009930D8">
                    <w:pPr>
                      <w:spacing w:after="0"/>
                      <w:jc w:val="center"/>
                      <w:rPr>
                        <w:color w:val="000000"/>
                        <w:sz w:val="20"/>
                      </w:rPr>
                    </w:pPr>
                    <w:r w:rsidRPr="009930D8">
                      <w:rPr>
                        <w:color w:val="000000"/>
                        <w:sz w:val="20"/>
                      </w:rPr>
                      <w:t>UK OFFICIAL-SENSITIVE COMMERCIAL</w:t>
                    </w:r>
                  </w:p>
                </w:txbxContent>
              </v:textbox>
              <w10:wrap anchorx="page" anchory="page"/>
            </v:shape>
          </w:pict>
        </mc:Fallback>
      </mc:AlternateContent>
    </w:r>
    <w:r w:rsidR="00564FFF">
      <w:rPr>
        <w:rFonts w:ascii="Arial" w:eastAsia="Arial" w:hAnsi="Arial"/>
        <w:sz w:val="20"/>
        <w:szCs w:val="20"/>
      </w:rPr>
      <w:tab/>
      <w:t xml:space="preserve">                                           </w:t>
    </w:r>
  </w:p>
  <w:p w14:paraId="30D6C9EE" w14:textId="77777777"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30D6C9EF"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03729">
      <w:rPr>
        <w:rFonts w:ascii="Arial" w:eastAsia="Arial" w:hAnsi="Arial"/>
        <w:noProof/>
        <w:color w:val="BFBFBF"/>
        <w:sz w:val="20"/>
        <w:szCs w:val="20"/>
      </w:rPr>
      <w:t>1</w:t>
    </w:r>
    <w:r>
      <w:rPr>
        <w:rFonts w:ascii="Arial" w:eastAsia="Arial" w:hAnsi="Arial"/>
        <w:color w:val="BFBFBF"/>
        <w:sz w:val="20"/>
        <w:szCs w:val="20"/>
      </w:rPr>
      <w:fldChar w:fldCharType="end"/>
    </w:r>
  </w:p>
  <w:p w14:paraId="30D6C9F0"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30D6C9F1" w14:textId="77777777"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C9F2" w14:textId="77777777" w:rsidR="00A93162" w:rsidRDefault="00564FFF">
    <w:pPr>
      <w:tabs>
        <w:tab w:val="center" w:pos="4513"/>
        <w:tab w:val="right" w:pos="9026"/>
      </w:tabs>
      <w:spacing w:after="0"/>
      <w:rPr>
        <w:color w:val="BFBFBF"/>
      </w:rPr>
    </w:pPr>
    <w:r>
      <w:rPr>
        <w:color w:val="BFBFBF"/>
      </w:rPr>
      <w:t>Framework Ref: RM</w:t>
    </w:r>
    <w:r>
      <w:rPr>
        <w:color w:val="BFBFBF"/>
      </w:rPr>
      <w:tab/>
      <w:t xml:space="preserve">                                           </w:t>
    </w:r>
  </w:p>
  <w:p w14:paraId="30D6C9F3" w14:textId="77777777"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30D6C9F4" w14:textId="77777777" w:rsidR="00A93162" w:rsidRDefault="00564FF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54220" w14:textId="77777777" w:rsidR="00D56D34" w:rsidRDefault="00D56D34">
      <w:pPr>
        <w:spacing w:after="0"/>
      </w:pPr>
      <w:r>
        <w:separator/>
      </w:r>
    </w:p>
  </w:footnote>
  <w:footnote w:type="continuationSeparator" w:id="0">
    <w:p w14:paraId="5D84C50F" w14:textId="77777777" w:rsidR="00D56D34" w:rsidRDefault="00D56D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C9EB" w14:textId="05D066B4" w:rsidR="00A93162" w:rsidRDefault="009930D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114300" distR="114300" simplePos="0" relativeHeight="251660288" behindDoc="0" locked="0" layoutInCell="0" allowOverlap="1" wp14:anchorId="2700C37C" wp14:editId="4F00FFCC">
              <wp:simplePos x="0" y="0"/>
              <wp:positionH relativeFrom="page">
                <wp:posOffset>0</wp:posOffset>
              </wp:positionH>
              <wp:positionV relativeFrom="page">
                <wp:posOffset>190500</wp:posOffset>
              </wp:positionV>
              <wp:extent cx="7560310" cy="273050"/>
              <wp:effectExtent l="0" t="0" r="0" b="12700"/>
              <wp:wrapNone/>
              <wp:docPr id="2" name="MSIPCMddce4e84885f026073f4d90a" descr="{&quot;HashCode&quot;:-5466662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705942" w14:textId="4F376557" w:rsidR="009930D8" w:rsidRPr="009930D8" w:rsidRDefault="009930D8" w:rsidP="009930D8">
                          <w:pPr>
                            <w:spacing w:after="0"/>
                            <w:jc w:val="center"/>
                            <w:rPr>
                              <w:color w:val="000000"/>
                              <w:sz w:val="20"/>
                            </w:rPr>
                          </w:pPr>
                          <w:r w:rsidRPr="009930D8">
                            <w:rPr>
                              <w:color w:val="000000"/>
                              <w:sz w:val="20"/>
                            </w:rPr>
                            <w:t>UK 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700C37C" id="_x0000_t202" coordsize="21600,21600" o:spt="202" path="m,l,21600r21600,l21600,xe">
              <v:stroke joinstyle="miter"/>
              <v:path gradientshapeok="t" o:connecttype="rect"/>
            </v:shapetype>
            <v:shape id="MSIPCMddce4e84885f026073f4d90a" o:spid="_x0000_s1026" type="#_x0000_t202" alt="{&quot;HashCode&quot;:-546666226,&quot;Height&quot;:841.0,&quot;Width&quot;:595.0,&quot;Placement&quot;:&quot;Header&quot;,&quot;Index&quot;:&quot;Primary&quot;,&quot;Section&quot;:1,&quot;Top&quot;:0.0,&quot;Left&quot;:0.0}" style="position:absolute;left:0;text-align:left;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Hkp24awCAABGBQAADgAAAAAAAAAA&#10;AAAAAAAuAgAAZHJzL2Uyb0RvYy54bWxQSwECLQAUAAYACAAAACEASyIJ5twAAAAHAQAADwAAAAAA&#10;AAAAAAAAAAAGBQAAZHJzL2Rvd25yZXYueG1sUEsFBgAAAAAEAAQA8wAAAA8GAAAAAA==&#10;" o:allowincell="f" filled="f" stroked="f" strokeweight=".5pt">
              <v:fill o:detectmouseclick="t"/>
              <v:textbox inset=",0,,0">
                <w:txbxContent>
                  <w:p w14:paraId="13705942" w14:textId="4F376557" w:rsidR="009930D8" w:rsidRPr="009930D8" w:rsidRDefault="009930D8" w:rsidP="009930D8">
                    <w:pPr>
                      <w:spacing w:after="0"/>
                      <w:jc w:val="center"/>
                      <w:rPr>
                        <w:color w:val="000000"/>
                        <w:sz w:val="20"/>
                      </w:rPr>
                    </w:pPr>
                    <w:r w:rsidRPr="009930D8">
                      <w:rPr>
                        <w:color w:val="000000"/>
                        <w:sz w:val="20"/>
                      </w:rPr>
                      <w:t>UK OFFICIAL-SENSITIVE COMMERCIAL</w:t>
                    </w:r>
                  </w:p>
                </w:txbxContent>
              </v:textbox>
              <w10:wrap anchorx="page" anchory="page"/>
            </v:shape>
          </w:pict>
        </mc:Fallback>
      </mc:AlternateContent>
    </w:r>
    <w:r w:rsidR="00564FFF">
      <w:rPr>
        <w:rFonts w:ascii="Arial" w:eastAsia="Arial" w:hAnsi="Arial"/>
        <w:b/>
        <w:color w:val="000000"/>
        <w:sz w:val="20"/>
        <w:szCs w:val="20"/>
      </w:rPr>
      <w:t>Schedule 24 (Financial Difficulties)</w:t>
    </w:r>
  </w:p>
  <w:p w14:paraId="30D6C9EC"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104396"/>
    <w:rsid w:val="001347D7"/>
    <w:rsid w:val="003A5AFD"/>
    <w:rsid w:val="003D12EA"/>
    <w:rsid w:val="00436DC1"/>
    <w:rsid w:val="00503729"/>
    <w:rsid w:val="00564FFF"/>
    <w:rsid w:val="00637864"/>
    <w:rsid w:val="0068226A"/>
    <w:rsid w:val="007234B8"/>
    <w:rsid w:val="00963267"/>
    <w:rsid w:val="009930D8"/>
    <w:rsid w:val="00A93162"/>
    <w:rsid w:val="00B76992"/>
    <w:rsid w:val="00C112C9"/>
    <w:rsid w:val="00D56D34"/>
    <w:rsid w:val="00E54E5D"/>
    <w:rsid w:val="00E950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6C979"/>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Tucker - UK SBS</dc:creator>
  <cp:lastModifiedBy>Liam Tucker - UK SBS</cp:lastModifiedBy>
  <cp:revision>3</cp:revision>
  <dcterms:created xsi:type="dcterms:W3CDTF">2022-04-04T14:23:00Z</dcterms:created>
  <dcterms:modified xsi:type="dcterms:W3CDTF">2022-04-05T13:01:00Z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2022-04-01T14:51:04Z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46e63f22-bf2b-4b1d-907a-878241a03ecd</vt:lpwstr>
  </property>
  <property fmtid="{D5CDD505-2E9C-101B-9397-08002B2CF9AE}" pid="9" name="MSIP_Label_ba62f585-b40f-4ab9-bafe-39150f03d124_ContentBits">
    <vt:lpwstr>0</vt:lpwstr>
  </property>
  <property fmtid="{D5CDD505-2E9C-101B-9397-08002B2CF9AE}" pid="10" name="MSIP_Label_1c359874-fc2c-4ac1-905f-b606b0ab8a34_Enabled">
    <vt:lpwstr>true</vt:lpwstr>
  </property>
  <property fmtid="{D5CDD505-2E9C-101B-9397-08002B2CF9AE}" pid="11" name="MSIP_Label_1c359874-fc2c-4ac1-905f-b606b0ab8a34_SetDate">
    <vt:lpwstr>2022-04-05T13:01:23Z</vt:lpwstr>
  </property>
  <property fmtid="{D5CDD505-2E9C-101B-9397-08002B2CF9AE}" pid="12" name="MSIP_Label_1c359874-fc2c-4ac1-905f-b606b0ab8a34_Method">
    <vt:lpwstr>Privileged</vt:lpwstr>
  </property>
  <property fmtid="{D5CDD505-2E9C-101B-9397-08002B2CF9AE}" pid="13" name="MSIP_Label_1c359874-fc2c-4ac1-905f-b606b0ab8a34_Name">
    <vt:lpwstr>UK OFFICIAL-SENSITIVE COMMERCIAL unencrypted</vt:lpwstr>
  </property>
  <property fmtid="{D5CDD505-2E9C-101B-9397-08002B2CF9AE}" pid="14" name="MSIP_Label_1c359874-fc2c-4ac1-905f-b606b0ab8a34_SiteId">
    <vt:lpwstr>2dcfd016-f9df-488c-b16b-68345b59afb7</vt:lpwstr>
  </property>
  <property fmtid="{D5CDD505-2E9C-101B-9397-08002B2CF9AE}" pid="15" name="MSIP_Label_1c359874-fc2c-4ac1-905f-b606b0ab8a34_ActionId">
    <vt:lpwstr>7d8b24c6-3a0b-4cde-af61-120d098843c6</vt:lpwstr>
  </property>
  <property fmtid="{D5CDD505-2E9C-101B-9397-08002B2CF9AE}" pid="16" name="MSIP_Label_1c359874-fc2c-4ac1-905f-b606b0ab8a34_ContentBits">
    <vt:lpwstr>3</vt:lpwstr>
  </property>
</Properties>
</file>